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AC" w:rsidRPr="006067AC" w:rsidRDefault="006067AC" w:rsidP="0095033A">
      <w:pPr>
        <w:shd w:val="clear" w:color="auto" w:fill="ECECEC"/>
        <w:spacing w:after="0" w:line="840" w:lineRule="atLeast"/>
        <w:jc w:val="center"/>
        <w:rPr>
          <w:rFonts w:ascii="Arial" w:eastAsia="Times New Roman" w:hAnsi="Arial" w:cs="Arial"/>
          <w:caps/>
          <w:color w:val="244868"/>
          <w:sz w:val="72"/>
          <w:szCs w:val="72"/>
          <w:lang w:eastAsia="it-IT"/>
        </w:rPr>
      </w:pPr>
      <w:bookmarkStart w:id="0" w:name="_GoBack"/>
      <w:bookmarkEnd w:id="0"/>
      <w:r w:rsidRPr="006067AC">
        <w:rPr>
          <w:rFonts w:ascii="Arial" w:eastAsia="Times New Roman" w:hAnsi="Arial" w:cs="Arial"/>
          <w:caps/>
          <w:color w:val="244868"/>
          <w:sz w:val="72"/>
          <w:szCs w:val="72"/>
          <w:lang w:eastAsia="it-IT"/>
        </w:rPr>
        <w:t>Privacy policy</w:t>
      </w:r>
    </w:p>
    <w:p w:rsidR="006067AC" w:rsidRPr="006067AC" w:rsidRDefault="006067AC" w:rsidP="006067AC">
      <w:pPr>
        <w:spacing w:after="100" w:afterAutospacing="1" w:line="360" w:lineRule="atLeast"/>
        <w:jc w:val="center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INFORMATIVA SUL TRATTAMENTO DEI DATI PERSONALI</w:t>
      </w:r>
    </w:p>
    <w:p w:rsidR="006067AC" w:rsidRPr="006067AC" w:rsidRDefault="006067AC" w:rsidP="006067AC">
      <w:pPr>
        <w:spacing w:after="100" w:afterAutospacing="1" w:line="360" w:lineRule="atLeast"/>
        <w:jc w:val="center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ai sensi degli artt. 13 e 14 del Regolamento (UE) 2016/679</w:t>
      </w:r>
    </w:p>
    <w:p w:rsidR="006067AC" w:rsidRPr="006067AC" w:rsidRDefault="006067AC" w:rsidP="006067AC">
      <w:pPr>
        <w:spacing w:after="100" w:afterAutospacing="1" w:line="360" w:lineRule="atLeast"/>
        <w:jc w:val="center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relativo alla protezione delle persone fisiche con riguardo al trattamento dei dati personali</w:t>
      </w:r>
    </w:p>
    <w:p w:rsidR="006067AC" w:rsidRPr="006067AC" w:rsidRDefault="006067AC" w:rsidP="006067AC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Jona S.r.l. 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P.I. </w:t>
      </w:r>
      <w:r w:rsidR="00181BFB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02889760969 – C.F. IT 11447110153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- Sede Legale: Via </w:t>
      </w: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Piaggio, 7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8 </w:t>
      </w: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–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</w:t>
      </w: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Paderno Dugnano (MI)</w:t>
      </w:r>
      <w:r w:rsidR="006C7FD6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(nel seguito la “Società”), in qualità di titolare del trattamento ti fornisce di seguito, ai sensi degli artt. 13 e 14 del Regolamento Europeo 679/2016 relativo alla protezione dei dati personali (nel seguito “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GDPR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”), le informazioni relative al trattamento dei dati personali di soggetti che hanno acquistato, richiesto o fruito di servizi e/o prodotti forniti dalla Società (nel seguito il "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Cliente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").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Indice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1. </w:t>
      </w:r>
      <w:hyperlink r:id="rId5" w:anchor="1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Tipologia di dati trattati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2. </w:t>
      </w:r>
      <w:hyperlink r:id="rId6" w:anchor="2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Finalità del trattamento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3. </w:t>
      </w:r>
      <w:hyperlink r:id="rId7" w:anchor="3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Base giuridica del trattamento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4. </w:t>
      </w:r>
      <w:hyperlink r:id="rId8" w:anchor="4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Modalità del trattamento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5. </w:t>
      </w:r>
      <w:hyperlink r:id="rId9" w:anchor="5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Conservazione dei dati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6. </w:t>
      </w:r>
      <w:hyperlink r:id="rId10" w:anchor="6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Comunicazione, diffusione e trasferimento dei Dati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7. </w:t>
      </w:r>
      <w:hyperlink r:id="rId11" w:anchor="7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Trasferimento dei Dati all'estero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8. </w:t>
      </w:r>
      <w:hyperlink r:id="rId12" w:anchor="8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Quali sono i diritti del Cliente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9. </w:t>
      </w:r>
      <w:hyperlink r:id="rId13" w:anchor="9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Modifiche e aggiornamenti</w:t>
        </w:r>
      </w:hyperlink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1" w:name="1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1.</w:t>
      </w:r>
      <w:bookmarkEnd w:id="1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Tipologia di dati trattati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 dati personali trattati dalla Società comprendono, in via esemplificativa e non esaustiva, le seguenti categorie di dati relativi al Cliente: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(i) 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 identificativi, di contatto e di accesso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quali il nome, cognome, indirizzo email, numero di telefono e credenziali di accesso ai servizi e/o prodotti forniti dalla Società;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lastRenderedPageBreak/>
        <w:t xml:space="preserve">(ii) 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 di navigazione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quali gli indirizzi IP, i dati di log o i nomi a dominio ed altri parametri relativi ai computer, al sistema operativo e all’ambiente informatico utilizzati;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(iii) 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 di prodotto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quali i dati relativi ai prodotti e/o servizi forniti dalla Società, che il Cliente ha richiesto, cui ha accesso o di cui fruisce;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(iv) 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 sulle preferenze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quali i dati relativi alle preferenze, attività e abitudini di spesa del Cliente;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(v) 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 di pagamento e bancari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quali il numero di conto corrente o codice IBAN;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(vi) 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 acquisiti da fonti pubbliche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quali i dati dei rappresentanti e procuratori che vengono raccolti tramite ad esempio le Camere di Commercio o i servizi di informazione commerciale;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(nel seguito definiti congiuntamente i “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Dati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”).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2" w:name="2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2.</w:t>
      </w:r>
      <w:bookmarkEnd w:id="2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Finalità del trattamento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Il trattamento dei Dati è effettuato dalla Società nello svolgimento delle sue attività economiche e commerciali per le seguenti finalità: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a) permettere al Cliente di richiedere, ottenere, accedere e fruire dei servizi e/o prodotti forniti dalla Società;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b) adempiere agli obblighi derivanti dalla legge, regolamenti o normativa comunitaria (ad es. obblighi fiscali e contabili);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(le finalità di cui alle lettere da a) e b) sono congiuntamente definite le "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Finalità Contrattuali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")</w:t>
      </w:r>
    </w:p>
    <w:p w:rsid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c) per far valere e difendere i propri diritti, anche nell’ambito di procedure di recupero crediti e di assegnazione dei crediti, anche attraverso terze parti;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d) per l'analisi ed il miglioramento dei servizi e/o prodotti offerti;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(le finalità dalla lettera c) </w:t>
      </w: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sono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definite le "</w:t>
      </w:r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Finalità di Legittimo Interesse di Business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")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3" w:name="3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3.</w:t>
      </w:r>
      <w:bookmarkEnd w:id="3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Base giuridica del trattamento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Il trattamento dei Dati è necessario con riferimento alle Finalità Contrattuali in quanto tali Dati risultano necessari al fine di:</w:t>
      </w:r>
    </w:p>
    <w:p w:rsidR="006067AC" w:rsidRPr="006067AC" w:rsidRDefault="006C7FD6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lastRenderedPageBreak/>
        <w:t xml:space="preserve">- </w:t>
      </w:r>
      <w:r w:rsidR="006067AC"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fornire i servizi e/o prodotti richiesti relativamente ai casi di cui alla Sezione 2, lettera a);</w:t>
      </w:r>
      <w:r w:rsidR="006067AC"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- adeguarsi alle disposizioni della normativa applicabile come previsto dalla Sezione 2, lettera b).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Qualora il Cliente dovesse decidere di non fornire i Dati necessari per le Finalità Contrattuali, la Società sarà impossibilitata a fornirti i servizi richiesti.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Il trattamento dei Dati per le Finalità di Legittimo Interesse di Business è effettuato ai sensi dell'articolo 6, lettera f) del GDPR per il perseguimento dell'interesse legittimo della Società che è equamente bilanciato con gli interessi, diritti e libertà del Cliente in quanto l'attività di trattamento dei Dati è limitata a quanto strettamente necessario per l'esecuzione delle operazioni ivi indicate. Il trattamento per le Finalità di Legittimo Interesse di Business non è obbligatorio e il Cliente potrà opporsi a detto trattamento con le modalità di cui alla presente informativa, ma qualora dovesse decidere di opporsi a tale trattamento, i suoi Dati non potranno essere utilizzati per Finalità di Legittimo Interesse di Business, fatto salvo il caso in cui la Società dimostri la presenza di motivi legittimi cogenti prevalenti o di esercizio o difesa di un diritto ai sensi dell’articolo 21 del GDPR.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4" w:name="4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4.</w:t>
      </w:r>
      <w:bookmarkEnd w:id="4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Modalità del trattamento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 Dati saranno trattati dalla Società con sistemi elettronici e manuali secondo i principi di correttezza, lealtà e trasparenza previsti dalla normativa applicabile in materia di protezione dei dati personali e tutelando la riservatezza del Cliente tramite misure di sicurezza tecniche ed organizzative per garantire un livello di sicurezza adeguato.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5" w:name="5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5.</w:t>
      </w:r>
      <w:bookmarkEnd w:id="5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Conservazione dei dati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 Dati saranno conservati per il periodo di tempo necessario per il perseguimento delle finalità per cui tali Dati sono stati raccolti, come affermato in questa informativa. In ogni caso, i seguenti termini di conservazione si applicheranno con riferimento ai trattamenti dei Dati per le finalità riportate di seguito: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a) per le Finalità Contrattuali e di Legittimo Interesse di Business i Dati vengono conservati per un periodo pari alla durata della fornitura dei servizi e/o prodotti richiesti dal Cliente e per i 10 anni successivi alla cessazione della fornitura, fatti salvi eventuali rinnovi e i casi in cui la conservazione per un periodo successivo sia richiesta per eventuali contenziosi, richieste delle autorità competenti o ai sensi della normativa applicabile;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6" w:name="6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6.</w:t>
      </w:r>
      <w:bookmarkEnd w:id="6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Comunicazione, diffusione e trasferimento dei Dati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Per le Finalità Contrattuali, i Dati possono essere trasferiti ai seguenti soggetti terzi che svolgono attività funzionali a quelle di cui alla fornitura dei servizi e/o prodotti da te richiesti situati all'interno e all'esterno dell'Unione Europea: (a) terzi fornitori di servizi di assistenza e consulenza per la Società con riferimento alle 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lastRenderedPageBreak/>
        <w:t>attività dei settori (a titolo meramente esemplificativo) tecnologico, contabile, amministrativo, legale, assicurativo</w:t>
      </w:r>
      <w:r w:rsidR="00741A8D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; (b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) soggetti ed autorità il cui diritto di accesso ai Dati è espressamente riconosciuto dalla legge, da regolamenti o da provvedimenti emanati dalle autorità competenti.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Per le Finalità di Legittimo Interesse di Business, i Dati possono essere trasferiti alle seguenti categorie di destinatari, situati all'interno e all'esterno dell'Unione Europea: (a) terzi fornitori di servizi di assistenza e di consulenza per la Società con riferimento alle attività dei settori (a titolo meramente esemplificativo) tecnologico, contabile, amministrativo, legale, assicurativo, (d) autorità competenti.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Tali destinatari, a seconda dei casi, trattano i Dati del Cliente in qualità di titolari, responsabili o incaricati del trattamento. La lista completa e aggiornata dei soggetti che trattano i Dati in qualità di responsabili del trattamento è disponibile su richiesta al Responsabile per la Protezione dei Dati, secondo le modalità di contatto indicate in questa informativa.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7" w:name="7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7.</w:t>
      </w:r>
      <w:bookmarkEnd w:id="7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Trasferimento dei Dati all'estero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 Dati potranno essere liberamente trasferiti fuori dal territorio nazionale a Pa</w:t>
      </w:r>
      <w:r w:rsidR="00741A8D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esi situati nell’Unione europea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. </w:t>
      </w:r>
      <w:r w:rsidR="00741A8D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Nel caso in cui il Cliente desiderasse ottenere maggiori informazioni in merito alle garanzie in essere e richiedere una copia delle stesse, può contattare in ogni momento la Società secondo le modalità indicate in questa informativa.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8" w:name="8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8.</w:t>
      </w:r>
      <w:bookmarkEnd w:id="8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Quali sono i diritti del Cliente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In relazione al trattamento dei Dati descritto in questa informativa, il Cliente può esercitare in ogni momento, i diritti previsti dal GDPR (artt. 15-21), ivi inclusi: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- ricevere conferma dell’esistenza dei Dati e accedere al loro contenuto (diritto di accesso);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- aggiornare, modificare e/o correggere i Dati (diritto di rettifica);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- chiedere la cancellazione o la limitazione del trattamento dei Dati trattati in violazione di legge compresi quelli di cui non è necessaria la conservazione in relazione agli scopi per i quali i Dati sono stati raccolti o altrimenti trattati (diritto all'oblio e diritto alla limitazione);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- opporsi al trattamento (diritto di opposizione);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>- revocare il consenso, ove prestato, senza pregiudizio per la liceità del trattamento basata sul consenso prestato prima della revoca;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 xml:space="preserve">- proporre reclamo all'Autorità di controllo (Garante per la protezione dei dati personali </w:t>
      </w:r>
      <w:hyperlink r:id="rId14" w:tgtFrame="_blank" w:history="1">
        <w:r w:rsidRPr="006067AC">
          <w:rPr>
            <w:rFonts w:ascii="lft-etica" w:eastAsia="Times New Roman" w:hAnsi="lft-etica" w:cs="Arial"/>
            <w:color w:val="008FD0"/>
            <w:sz w:val="21"/>
            <w:szCs w:val="21"/>
            <w:lang w:eastAsia="it-IT"/>
          </w:rPr>
          <w:t>www.garanteprivacy.it</w:t>
        </w:r>
      </w:hyperlink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) in caso di violazione della disciplina in materia di protezione dei dati personali;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br/>
        <w:t xml:space="preserve">- ricevere una copia in formato elettronico dei Dati che lo riguardano, per trasferirli a </w:t>
      </w:r>
      <w:proofErr w:type="spellStart"/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sè</w:t>
      </w:r>
      <w:proofErr w:type="spellEnd"/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stesso o ad un diverso fornitore di servizi, nelle ipotesi in cui la Società effettui il trattamento di talli Dati sulla base del suo consenso o 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lastRenderedPageBreak/>
        <w:t>sulla base della circostanza che il trattamento è necessario per la fornitura dei servizi e/o prodotti richiesti ed i Dati sono trattati attraverso strumenti automatizzati (diritto alla portabilità dei dati).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Per esercitare tali diritti il Cliente può rivolgersi al Responsabile per della Protezione dei Dati, che è contattabile inviando una richiesta all'indirizzo</w:t>
      </w:r>
      <w:r w:rsidR="00A64597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a</w:t>
      </w:r>
      <w:r w:rsidR="00A64597">
        <w:rPr>
          <w:rFonts w:ascii="lft-etica" w:eastAsia="Times New Roman" w:hAnsi="lft-etica" w:cs="Arial" w:hint="eastAsia"/>
          <w:color w:val="212529"/>
          <w:sz w:val="21"/>
          <w:szCs w:val="21"/>
          <w:lang w:eastAsia="it-IT"/>
        </w:rPr>
        <w:t>lessandra</w:t>
      </w:r>
      <w:r w:rsidR="00A64597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@jonasrl.it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, oppure indirizzando la comunicazione via posta a:</w:t>
      </w:r>
    </w:p>
    <w:p w:rsidR="006067AC" w:rsidRPr="006067AC" w:rsidRDefault="00741A8D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Jona </w:t>
      </w:r>
      <w:proofErr w:type="spellStart"/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S.r.L</w:t>
      </w:r>
      <w:r w:rsidR="006067AC"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.</w:t>
      </w:r>
      <w:proofErr w:type="spellEnd"/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Via </w:t>
      </w:r>
      <w:r w:rsidR="00741A8D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Piaggio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</w:t>
      </w:r>
      <w:r w:rsidR="00741A8D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7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8</w:t>
      </w:r>
    </w:p>
    <w:p w:rsidR="006067AC" w:rsidRPr="006067AC" w:rsidRDefault="00741A8D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Paderno Dugnano (MI)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c.a.: Responsabile della Protezione dei Dati</w:t>
      </w:r>
      <w:r w:rsidR="00A64597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 xml:space="preserve"> – Berna Alessandra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Nel contattarci, il Cliente dovrà accerta</w:t>
      </w:r>
      <w:r w:rsidR="006C7FD6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r</w:t>
      </w: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si di includere il proprio nome, email/indirizzo postale e/o numero/i di telefono per essere sicuro che la sua richiesta possa essere gestita correttamente.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 </w:t>
      </w:r>
    </w:p>
    <w:p w:rsidR="006067AC" w:rsidRPr="006067AC" w:rsidRDefault="006067AC" w:rsidP="006067AC">
      <w:pPr>
        <w:spacing w:after="100" w:afterAutospacing="1" w:line="360" w:lineRule="atLeast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bookmarkStart w:id="9" w:name="9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lang w:eastAsia="it-IT"/>
        </w:rPr>
        <w:t>9.</w:t>
      </w:r>
      <w:bookmarkEnd w:id="9"/>
      <w:r w:rsidRPr="006067AC">
        <w:rPr>
          <w:rFonts w:ascii="lft-etica" w:eastAsia="Times New Roman" w:hAnsi="lft-etica" w:cs="Arial"/>
          <w:b/>
          <w:bCs/>
          <w:color w:val="008FD0"/>
          <w:sz w:val="21"/>
          <w:szCs w:val="21"/>
          <w:u w:val="single"/>
          <w:lang w:eastAsia="it-IT"/>
        </w:rPr>
        <w:t xml:space="preserve"> Modifiche e aggiornamenti</w:t>
      </w:r>
    </w:p>
    <w:p w:rsidR="006067AC" w:rsidRPr="006067AC" w:rsidRDefault="006067AC" w:rsidP="006C7FD6">
      <w:pPr>
        <w:spacing w:after="100" w:afterAutospacing="1" w:line="360" w:lineRule="atLeast"/>
        <w:jc w:val="both"/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</w:pPr>
      <w:r w:rsidRPr="006067AC">
        <w:rPr>
          <w:rFonts w:ascii="lft-etica" w:eastAsia="Times New Roman" w:hAnsi="lft-etica" w:cs="Arial"/>
          <w:color w:val="212529"/>
          <w:sz w:val="21"/>
          <w:szCs w:val="21"/>
          <w:lang w:eastAsia="it-IT"/>
        </w:rPr>
        <w:t>La presente informativa può essere soggetta a variazioni anche in conseguenza di eventuali modifiche e/o integrazioni normative. Eventuali modifiche saranno notificate in anticipo.</w:t>
      </w:r>
    </w:p>
    <w:p w:rsidR="00474AD2" w:rsidRDefault="00474AD2"/>
    <w:sectPr w:rsidR="00474AD2" w:rsidSect="00F53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ft-etic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096"/>
    <w:multiLevelType w:val="multilevel"/>
    <w:tmpl w:val="41C6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67AC"/>
    <w:rsid w:val="00181BFB"/>
    <w:rsid w:val="00474AD2"/>
    <w:rsid w:val="006067AC"/>
    <w:rsid w:val="006C7FD6"/>
    <w:rsid w:val="00741A8D"/>
    <w:rsid w:val="0095033A"/>
    <w:rsid w:val="00A64597"/>
    <w:rsid w:val="00F5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5AADE-B6C6-4185-B893-F6758604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3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system.com/informativa-trattamento-dati?utm_source=newsletter-mailup&amp;utm_medium=email&amp;utm_campaign=teamsystem" TargetMode="External"/><Relationship Id="rId13" Type="http://schemas.openxmlformats.org/officeDocument/2006/relationships/hyperlink" Target="https://www.teamsystem.com/informativa-trattamento-dati?utm_source=newsletter-mailup&amp;utm_medium=email&amp;utm_campaign=teamsyst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amsystem.com/informativa-trattamento-dati?utm_source=newsletter-mailup&amp;utm_medium=email&amp;utm_campaign=teamsystem" TargetMode="External"/><Relationship Id="rId12" Type="http://schemas.openxmlformats.org/officeDocument/2006/relationships/hyperlink" Target="https://www.teamsystem.com/informativa-trattamento-dati?utm_source=newsletter-mailup&amp;utm_medium=email&amp;utm_campaign=teamsyst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amsystem.com/informativa-trattamento-dati?utm_source=newsletter-mailup&amp;utm_medium=email&amp;utm_campaign=teamsystem" TargetMode="External"/><Relationship Id="rId11" Type="http://schemas.openxmlformats.org/officeDocument/2006/relationships/hyperlink" Target="https://www.teamsystem.com/informativa-trattamento-dati?utm_source=newsletter-mailup&amp;utm_medium=email&amp;utm_campaign=teamsystem" TargetMode="External"/><Relationship Id="rId5" Type="http://schemas.openxmlformats.org/officeDocument/2006/relationships/hyperlink" Target="https://www.teamsystem.com/informativa-trattamento-dati?utm_source=newsletter-mailup&amp;utm_medium=email&amp;utm_campaign=teamsyste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eamsystem.com/informativa-trattamento-dati?utm_source=newsletter-mailup&amp;utm_medium=email&amp;utm_campaign=team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msystem.com/informativa-trattamento-dati?utm_source=newsletter-mailup&amp;utm_medium=email&amp;utm_campaign=teamsystem" TargetMode="External"/><Relationship Id="rId14" Type="http://schemas.openxmlformats.org/officeDocument/2006/relationships/hyperlink" Target="https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6</cp:revision>
  <dcterms:created xsi:type="dcterms:W3CDTF">2018-10-18T10:11:00Z</dcterms:created>
  <dcterms:modified xsi:type="dcterms:W3CDTF">2018-12-05T12:28:00Z</dcterms:modified>
</cp:coreProperties>
</file>